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sz w:val="28"/>
          <w:szCs w:val="28"/>
        </w:rPr>
      </w:pPr>
      <w:r>
        <w:rPr>
          <w:rFonts w:hint="eastAsia" w:ascii="仿宋" w:hAnsi="仿宋" w:eastAsia="仿宋"/>
          <w:b/>
          <w:sz w:val="28"/>
          <w:szCs w:val="28"/>
        </w:rPr>
        <w:t>国富期货有限公司关于提醒投资者警惕非法配资活动的公告</w:t>
      </w:r>
    </w:p>
    <w:p>
      <w:pPr>
        <w:rPr>
          <w:rFonts w:ascii="仿宋" w:hAnsi="仿宋" w:eastAsia="仿宋"/>
          <w:sz w:val="28"/>
          <w:szCs w:val="28"/>
        </w:rPr>
      </w:pPr>
      <w:r>
        <w:rPr>
          <w:rFonts w:hint="eastAsia" w:ascii="仿宋" w:hAnsi="仿宋" w:eastAsia="仿宋"/>
          <w:sz w:val="28"/>
          <w:szCs w:val="28"/>
        </w:rPr>
        <w:t>尊敬</w:t>
      </w:r>
      <w:r>
        <w:rPr>
          <w:rFonts w:ascii="仿宋" w:hAnsi="仿宋" w:eastAsia="仿宋"/>
          <w:sz w:val="28"/>
          <w:szCs w:val="28"/>
        </w:rPr>
        <w:t>的投资者：</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ascii="仿宋" w:hAnsi="仿宋" w:eastAsia="仿宋"/>
          <w:sz w:val="28"/>
          <w:szCs w:val="28"/>
        </w:rPr>
      </w:pPr>
      <w:r>
        <w:rPr>
          <w:rFonts w:hint="eastAsia" w:ascii="仿宋" w:hAnsi="仿宋" w:eastAsia="仿宋"/>
          <w:sz w:val="28"/>
          <w:szCs w:val="28"/>
        </w:rPr>
        <w:t>近期</w:t>
      </w:r>
      <w:r>
        <w:rPr>
          <w:rFonts w:ascii="仿宋" w:hAnsi="仿宋" w:eastAsia="仿宋"/>
          <w:sz w:val="28"/>
          <w:szCs w:val="28"/>
        </w:rPr>
        <w:t>，</w:t>
      </w:r>
      <w:r>
        <w:rPr>
          <w:rFonts w:hint="eastAsia" w:ascii="仿宋" w:hAnsi="仿宋" w:eastAsia="仿宋"/>
          <w:sz w:val="28"/>
          <w:szCs w:val="28"/>
        </w:rPr>
        <w:t>市场上</w:t>
      </w:r>
      <w:r>
        <w:rPr>
          <w:rFonts w:ascii="仿宋" w:hAnsi="仿宋" w:eastAsia="仿宋"/>
          <w:sz w:val="28"/>
          <w:szCs w:val="28"/>
        </w:rPr>
        <w:t>出现</w:t>
      </w:r>
      <w:r>
        <w:rPr>
          <w:rFonts w:hint="eastAsia" w:ascii="仿宋" w:hAnsi="仿宋" w:eastAsia="仿宋"/>
          <w:sz w:val="28"/>
          <w:szCs w:val="28"/>
        </w:rPr>
        <w:t>宣传期货配资业务，诱骗投资者参与非法期货活动的</w:t>
      </w:r>
      <w:r>
        <w:rPr>
          <w:rFonts w:ascii="仿宋" w:hAnsi="仿宋" w:eastAsia="仿宋"/>
          <w:sz w:val="28"/>
          <w:szCs w:val="28"/>
        </w:rPr>
        <w:t>现象</w:t>
      </w:r>
      <w:r>
        <w:rPr>
          <w:rFonts w:hint="eastAsia" w:ascii="仿宋" w:hAnsi="仿宋" w:eastAsia="仿宋"/>
          <w:sz w:val="28"/>
          <w:szCs w:val="28"/>
        </w:rPr>
        <w:t>。为保护投资者利益，国富期货在此郑重提醒：</w:t>
      </w:r>
    </w:p>
    <w:p>
      <w:pPr>
        <w:pStyle w:val="4"/>
        <w:keepNext w:val="0"/>
        <w:keepLines w:val="0"/>
        <w:pageBreakBefore w:val="0"/>
        <w:widowControl w:val="0"/>
        <w:numPr>
          <w:numId w:val="0"/>
        </w:numPr>
        <w:kinsoku/>
        <w:wordWrap/>
        <w:overflowPunct/>
        <w:topLinePunct w:val="0"/>
        <w:autoSpaceDE/>
        <w:autoSpaceDN/>
        <w:bidi w:val="0"/>
        <w:adjustRightInd/>
        <w:snapToGrid/>
        <w:ind w:firstLine="596" w:firstLineChars="200"/>
        <w:textAlignment w:val="auto"/>
        <w:outlineLvl w:val="9"/>
        <w:rPr>
          <w:rFonts w:ascii="仿宋" w:hAnsi="仿宋" w:eastAsia="仿宋"/>
          <w:sz w:val="28"/>
          <w:szCs w:val="28"/>
        </w:rPr>
      </w:pPr>
      <w:r>
        <w:rPr>
          <w:rFonts w:hint="eastAsia" w:ascii="仿宋" w:hAnsi="仿宋" w:eastAsia="仿宋"/>
          <w:color w:val="333333"/>
          <w:spacing w:val="9"/>
          <w:sz w:val="28"/>
          <w:szCs w:val="28"/>
          <w:shd w:val="clear" w:color="auto" w:fill="FFFFFF"/>
          <w:lang w:val="en-US" w:eastAsia="zh-CN"/>
        </w:rPr>
        <w:t>一、</w:t>
      </w:r>
      <w:r>
        <w:rPr>
          <w:rFonts w:hint="eastAsia" w:ascii="仿宋" w:hAnsi="仿宋" w:eastAsia="仿宋"/>
          <w:color w:val="333333"/>
          <w:spacing w:val="9"/>
          <w:sz w:val="28"/>
          <w:szCs w:val="28"/>
          <w:shd w:val="clear" w:color="auto" w:fill="FFFFFF"/>
        </w:rPr>
        <w:t>配资业务属于证监会等监管部门明令禁止的行为。</w:t>
      </w:r>
      <w:r>
        <w:rPr>
          <w:rFonts w:hint="eastAsia" w:ascii="仿宋" w:hAnsi="仿宋" w:eastAsia="仿宋"/>
          <w:sz w:val="28"/>
          <w:szCs w:val="28"/>
        </w:rPr>
        <w:t>国富期货作为正规</w:t>
      </w:r>
      <w:r>
        <w:rPr>
          <w:rFonts w:ascii="仿宋" w:hAnsi="仿宋" w:eastAsia="仿宋"/>
          <w:sz w:val="28"/>
          <w:szCs w:val="28"/>
        </w:rPr>
        <w:t>的期货经营机构</w:t>
      </w:r>
      <w:r>
        <w:rPr>
          <w:rFonts w:hint="eastAsia" w:ascii="仿宋" w:hAnsi="仿宋" w:eastAsia="仿宋"/>
          <w:sz w:val="28"/>
          <w:szCs w:val="28"/>
        </w:rPr>
        <w:t>，</w:t>
      </w:r>
      <w:r>
        <w:rPr>
          <w:rFonts w:hint="eastAsia" w:ascii="仿宋" w:hAnsi="仿宋" w:eastAsia="仿宋"/>
          <w:color w:val="333333"/>
          <w:spacing w:val="9"/>
          <w:sz w:val="28"/>
          <w:szCs w:val="28"/>
          <w:shd w:val="clear" w:color="auto" w:fill="FFFFFF"/>
        </w:rPr>
        <w:t>严格按照经营范围合法合规开展业务活动，</w:t>
      </w:r>
      <w:r>
        <w:rPr>
          <w:rFonts w:ascii="仿宋" w:hAnsi="仿宋" w:eastAsia="仿宋"/>
          <w:color w:val="333333"/>
          <w:spacing w:val="9"/>
          <w:sz w:val="28"/>
          <w:szCs w:val="28"/>
          <w:shd w:val="clear" w:color="auto" w:fill="FFFFFF"/>
        </w:rPr>
        <w:t>坚决抵制</w:t>
      </w:r>
      <w:r>
        <w:rPr>
          <w:rFonts w:hint="eastAsia" w:ascii="仿宋" w:hAnsi="仿宋" w:eastAsia="仿宋"/>
          <w:color w:val="333333"/>
          <w:spacing w:val="9"/>
          <w:sz w:val="28"/>
          <w:szCs w:val="28"/>
          <w:shd w:val="clear" w:color="auto" w:fill="FFFFFF"/>
        </w:rPr>
        <w:t>一切非法</w:t>
      </w:r>
      <w:r>
        <w:rPr>
          <w:rFonts w:ascii="仿宋" w:hAnsi="仿宋" w:eastAsia="仿宋"/>
          <w:color w:val="333333"/>
          <w:spacing w:val="9"/>
          <w:sz w:val="28"/>
          <w:szCs w:val="28"/>
          <w:shd w:val="clear" w:color="auto" w:fill="FFFFFF"/>
        </w:rPr>
        <w:t>期货活动</w:t>
      </w:r>
      <w:r>
        <w:rPr>
          <w:rFonts w:hint="eastAsia" w:ascii="仿宋" w:hAnsi="仿宋" w:eastAsia="仿宋"/>
          <w:sz w:val="28"/>
          <w:szCs w:val="28"/>
        </w:rPr>
        <w:t>，不提供任何形式的配资、垫资服务，不为非法融资提供任何便利。</w:t>
      </w:r>
    </w:p>
    <w:p>
      <w:pPr>
        <w:pStyle w:val="4"/>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outlineLvl w:val="9"/>
        <w:rPr>
          <w:rFonts w:ascii="仿宋" w:hAnsi="仿宋" w:eastAsia="仿宋"/>
          <w:sz w:val="28"/>
          <w:szCs w:val="28"/>
        </w:rPr>
      </w:pPr>
      <w:r>
        <w:rPr>
          <w:rFonts w:hint="eastAsia" w:ascii="仿宋" w:hAnsi="仿宋" w:eastAsia="仿宋"/>
          <w:sz w:val="28"/>
          <w:szCs w:val="28"/>
          <w:lang w:val="en-US" w:eastAsia="zh-CN"/>
        </w:rPr>
        <w:t>二、</w:t>
      </w:r>
      <w:r>
        <w:rPr>
          <w:rFonts w:hint="eastAsia" w:ascii="仿宋" w:hAnsi="仿宋" w:eastAsia="仿宋"/>
          <w:sz w:val="28"/>
          <w:szCs w:val="28"/>
        </w:rPr>
        <w:t>请</w:t>
      </w:r>
      <w:r>
        <w:rPr>
          <w:rFonts w:ascii="仿宋" w:hAnsi="仿宋" w:eastAsia="仿宋"/>
          <w:sz w:val="28"/>
          <w:szCs w:val="28"/>
        </w:rPr>
        <w:t>各位投资者</w:t>
      </w:r>
      <w:r>
        <w:rPr>
          <w:rFonts w:ascii="仿宋" w:hAnsi="仿宋" w:eastAsia="仿宋"/>
          <w:color w:val="333333"/>
          <w:sz w:val="28"/>
          <w:szCs w:val="28"/>
          <w:shd w:val="clear" w:color="auto" w:fill="FFFFFF"/>
        </w:rPr>
        <w:t>增强风险防范意识</w:t>
      </w:r>
      <w:r>
        <w:rPr>
          <w:rFonts w:hint="eastAsia" w:ascii="仿宋" w:hAnsi="仿宋" w:eastAsia="仿宋"/>
          <w:color w:val="333333"/>
          <w:spacing w:val="9"/>
          <w:sz w:val="28"/>
          <w:szCs w:val="28"/>
          <w:shd w:val="clear" w:color="auto" w:fill="FFFFFF"/>
        </w:rPr>
        <w:t>，</w:t>
      </w:r>
      <w:r>
        <w:rPr>
          <w:rFonts w:hint="eastAsia" w:ascii="仿宋" w:hAnsi="仿宋" w:eastAsia="仿宋"/>
          <w:sz w:val="28"/>
          <w:szCs w:val="28"/>
        </w:rPr>
        <w:t>在投资过程中时刻保持警惕，</w:t>
      </w:r>
      <w:r>
        <w:rPr>
          <w:rFonts w:hint="eastAsia" w:ascii="仿宋" w:hAnsi="仿宋" w:eastAsia="仿宋"/>
          <w:color w:val="333333"/>
          <w:spacing w:val="9"/>
          <w:sz w:val="28"/>
          <w:szCs w:val="28"/>
          <w:shd w:val="clear" w:color="auto" w:fill="FFFFFF"/>
        </w:rPr>
        <w:t>抵制高收益诱惑，注意防范金融诈骗、</w:t>
      </w:r>
      <w:r>
        <w:rPr>
          <w:rFonts w:hint="eastAsia" w:ascii="仿宋" w:hAnsi="仿宋" w:eastAsia="仿宋"/>
          <w:sz w:val="28"/>
          <w:szCs w:val="28"/>
        </w:rPr>
        <w:t>不要轻信未经监管部门批准的非法金融机构提供的所谓期货配资、垫资开权限等业务。</w:t>
      </w:r>
    </w:p>
    <w:p>
      <w:pPr>
        <w:pStyle w:val="4"/>
        <w:keepNext w:val="0"/>
        <w:keepLines w:val="0"/>
        <w:pageBreakBefore w:val="0"/>
        <w:widowControl w:val="0"/>
        <w:numPr>
          <w:numId w:val="0"/>
        </w:numPr>
        <w:kinsoku/>
        <w:wordWrap/>
        <w:overflowPunct/>
        <w:topLinePunct w:val="0"/>
        <w:autoSpaceDE/>
        <w:autoSpaceDN/>
        <w:bidi w:val="0"/>
        <w:adjustRightInd/>
        <w:snapToGrid/>
        <w:ind w:firstLine="596" w:firstLineChars="200"/>
        <w:textAlignment w:val="auto"/>
        <w:outlineLvl w:val="9"/>
        <w:rPr>
          <w:rFonts w:ascii="仿宋" w:hAnsi="仿宋" w:eastAsia="仿宋"/>
          <w:sz w:val="28"/>
          <w:szCs w:val="28"/>
        </w:rPr>
      </w:pPr>
      <w:r>
        <w:rPr>
          <w:rFonts w:hint="eastAsia" w:ascii="仿宋" w:hAnsi="仿宋" w:eastAsia="仿宋"/>
          <w:color w:val="333333"/>
          <w:spacing w:val="9"/>
          <w:sz w:val="28"/>
          <w:szCs w:val="28"/>
          <w:shd w:val="clear" w:color="auto" w:fill="FFFFFF"/>
          <w:lang w:val="en-US" w:eastAsia="zh-CN"/>
        </w:rPr>
        <w:t>三、</w:t>
      </w:r>
      <w:r>
        <w:rPr>
          <w:rFonts w:hint="eastAsia" w:ascii="仿宋" w:hAnsi="仿宋" w:eastAsia="仿宋"/>
          <w:color w:val="333333"/>
          <w:spacing w:val="9"/>
          <w:sz w:val="28"/>
          <w:szCs w:val="28"/>
          <w:shd w:val="clear" w:color="auto" w:fill="FFFFFF"/>
        </w:rPr>
        <w:t>建议广大的投资者摆正交易心态，深刻了解期货交易的本质和风险，客观评估自身的投资适当性，充分认知自身风险承受能力，远离非法期货配资，合法参与期货交易。</w:t>
      </w:r>
    </w:p>
    <w:p>
      <w:pPr>
        <w:pStyle w:val="4"/>
        <w:keepNext w:val="0"/>
        <w:keepLines w:val="0"/>
        <w:pageBreakBefore w:val="0"/>
        <w:widowControl w:val="0"/>
        <w:numPr>
          <w:numId w:val="0"/>
        </w:numPr>
        <w:kinsoku/>
        <w:wordWrap/>
        <w:overflowPunct/>
        <w:topLinePunct w:val="0"/>
        <w:autoSpaceDE/>
        <w:autoSpaceDN/>
        <w:bidi w:val="0"/>
        <w:adjustRightInd/>
        <w:snapToGrid/>
        <w:ind w:firstLine="596" w:firstLineChars="200"/>
        <w:textAlignment w:val="auto"/>
        <w:outlineLvl w:val="9"/>
        <w:rPr>
          <w:rFonts w:ascii="仿宋" w:hAnsi="仿宋" w:eastAsia="仿宋"/>
          <w:color w:val="333333"/>
          <w:spacing w:val="9"/>
          <w:sz w:val="28"/>
          <w:szCs w:val="28"/>
          <w:shd w:val="clear" w:color="auto" w:fill="FFFFFF"/>
        </w:rPr>
      </w:pPr>
      <w:r>
        <w:rPr>
          <w:rFonts w:hint="eastAsia" w:ascii="仿宋" w:hAnsi="仿宋" w:eastAsia="仿宋"/>
          <w:color w:val="333333"/>
          <w:spacing w:val="9"/>
          <w:sz w:val="28"/>
          <w:szCs w:val="28"/>
          <w:shd w:val="clear" w:color="auto" w:fill="FFFFFF"/>
          <w:lang w:val="en-US" w:eastAsia="zh-CN"/>
        </w:rPr>
        <w:t>四、</w:t>
      </w:r>
      <w:r>
        <w:rPr>
          <w:rFonts w:hint="eastAsia" w:ascii="仿宋" w:hAnsi="仿宋" w:eastAsia="仿宋"/>
          <w:color w:val="333333"/>
          <w:spacing w:val="9"/>
          <w:sz w:val="28"/>
          <w:szCs w:val="28"/>
          <w:shd w:val="clear" w:color="auto" w:fill="FFFFFF"/>
        </w:rPr>
        <w:t>各位投资者如发现任何疑似假冒国富期货名义进行非法期货配资活动的情况，可拨打本公司客服热线 021-80210586 咨询、核实、举报。</w:t>
      </w:r>
      <w:bookmarkStart w:id="0" w:name="_GoBack"/>
      <w:bookmarkEnd w:id="0"/>
    </w:p>
    <w:p>
      <w:pPr>
        <w:rPr>
          <w:rFonts w:ascii="仿宋" w:hAnsi="仿宋" w:eastAsia="仿宋"/>
          <w:sz w:val="28"/>
          <w:szCs w:val="28"/>
        </w:rPr>
      </w:pPr>
    </w:p>
    <w:p>
      <w:pPr>
        <w:jc w:val="right"/>
        <w:rPr>
          <w:rFonts w:ascii="仿宋" w:hAnsi="仿宋" w:eastAsia="仿宋"/>
          <w:sz w:val="28"/>
          <w:szCs w:val="28"/>
        </w:rPr>
      </w:pPr>
      <w:r>
        <w:rPr>
          <w:rFonts w:hint="eastAsia" w:ascii="仿宋" w:hAnsi="仿宋" w:eastAsia="仿宋"/>
          <w:sz w:val="28"/>
          <w:szCs w:val="28"/>
        </w:rPr>
        <w:t>国富期货</w:t>
      </w:r>
      <w:r>
        <w:rPr>
          <w:rFonts w:ascii="仿宋" w:hAnsi="仿宋" w:eastAsia="仿宋"/>
          <w:sz w:val="28"/>
          <w:szCs w:val="28"/>
        </w:rPr>
        <w:t>有限公司</w:t>
      </w:r>
    </w:p>
    <w:p>
      <w:pPr>
        <w:jc w:val="right"/>
        <w:rPr>
          <w:rFonts w:ascii="仿宋" w:hAnsi="仿宋" w:eastAsia="仿宋"/>
          <w:sz w:val="28"/>
          <w:szCs w:val="28"/>
        </w:rPr>
      </w:pPr>
      <w:r>
        <w:rPr>
          <w:rFonts w:hint="eastAsia" w:ascii="仿宋" w:hAnsi="仿宋" w:eastAsia="仿宋"/>
          <w:sz w:val="28"/>
          <w:szCs w:val="28"/>
        </w:rPr>
        <w:t>2019年6月10日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5DE"/>
    <w:rsid w:val="001077C6"/>
    <w:rsid w:val="00265624"/>
    <w:rsid w:val="006A45BB"/>
    <w:rsid w:val="006E11BF"/>
    <w:rsid w:val="008709F8"/>
    <w:rsid w:val="008E17E9"/>
    <w:rsid w:val="009679B2"/>
    <w:rsid w:val="00B645DE"/>
    <w:rsid w:val="00B707F5"/>
    <w:rsid w:val="00C55513"/>
    <w:rsid w:val="00D24B4A"/>
    <w:rsid w:val="00E23794"/>
    <w:rsid w:val="00F4382A"/>
    <w:rsid w:val="00F51B50"/>
    <w:rsid w:val="2EDB6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Words>
  <Characters>377</Characters>
  <Lines>3</Lines>
  <Paragraphs>1</Paragraphs>
  <TotalTime>117</TotalTime>
  <ScaleCrop>false</ScaleCrop>
  <LinksUpToDate>false</LinksUpToDate>
  <CharactersWithSpaces>442</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2019-06-10T08:44:00Z</dcterms:created>
  <dc:creator>DELL</dc:creator>
  <cp:lastModifiedBy>国富合规-张丹朝</cp:lastModifiedBy>
  <dcterms:modified xsi:type="dcterms:W3CDTF">2019-06-11T07:21:38Z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